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626D" w:rsidRPr="00B5626D" w:rsidRDefault="00B5626D" w:rsidP="00B5626D">
      <w:pPr>
        <w:pStyle w:val="normal0"/>
        <w:spacing w:line="276" w:lineRule="auto"/>
        <w:jc w:val="center"/>
        <w:rPr>
          <w:rFonts w:ascii="Avenir" w:eastAsia="Avenir" w:hAnsi="Avenir" w:cs="Avenir"/>
          <w:b/>
          <w:color w:val="000000"/>
          <w:sz w:val="32"/>
          <w:szCs w:val="32"/>
        </w:rPr>
      </w:pPr>
      <w:r>
        <w:rPr>
          <w:rFonts w:ascii="Avenir" w:eastAsia="Avenir" w:hAnsi="Avenir" w:cs="Avenir"/>
          <w:b/>
          <w:color w:val="000000"/>
          <w:sz w:val="32"/>
          <w:szCs w:val="32"/>
        </w:rPr>
        <w:t>FTESË PËR PJESËMARRJE</w:t>
      </w:r>
    </w:p>
    <w:p w:rsidR="007C6291" w:rsidRDefault="00B5626D">
      <w:pPr>
        <w:pStyle w:val="normal0"/>
        <w:spacing w:line="276" w:lineRule="auto"/>
        <w:jc w:val="center"/>
        <w:rPr>
          <w:rFonts w:ascii="Avenir" w:eastAsia="Avenir" w:hAnsi="Avenir" w:cs="Avenir"/>
          <w:b/>
          <w:i/>
          <w:color w:val="000000"/>
          <w:sz w:val="32"/>
          <w:szCs w:val="32"/>
        </w:rPr>
      </w:pPr>
      <w:r>
        <w:rPr>
          <w:rFonts w:ascii="Avenir" w:eastAsia="Avenir" w:hAnsi="Avenir" w:cs="Avenir"/>
          <w:b/>
          <w:i/>
          <w:color w:val="000000"/>
          <w:sz w:val="32"/>
          <w:szCs w:val="32"/>
        </w:rPr>
        <w:t>“Mjedisi Ligjor në Sektorin e Ndërmarrjeve Sociale: Gjetjet dhe Sfidat”</w:t>
      </w:r>
    </w:p>
    <w:p w:rsidR="007C6291" w:rsidRDefault="00B5626D">
      <w:pPr>
        <w:pStyle w:val="normal0"/>
        <w:spacing w:line="276" w:lineRule="auto"/>
        <w:jc w:val="center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Vendi i organizimit</w:t>
      </w:r>
      <w:r>
        <w:rPr>
          <w:rFonts w:ascii="Times New Roman" w:eastAsia="Times New Roman" w:hAnsi="Times New Roman" w:cs="Times New Roman"/>
          <w:sz w:val="24"/>
          <w:szCs w:val="24"/>
        </w:rPr>
        <w:t>: OFICINA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, </w:t>
      </w:r>
      <w:r>
        <w:rPr>
          <w:rFonts w:ascii="Avenir" w:eastAsia="Avenir" w:hAnsi="Avenir" w:cs="Avenir"/>
          <w:sz w:val="22"/>
          <w:szCs w:val="22"/>
        </w:rPr>
        <w:t>pranë shkollës Harry Fultz</w:t>
      </w:r>
    </w:p>
    <w:p w:rsidR="007C6291" w:rsidRDefault="00B5626D">
      <w:pPr>
        <w:pStyle w:val="normal0"/>
        <w:spacing w:line="276" w:lineRule="auto"/>
        <w:jc w:val="center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E enjte, 13 Dhjetor 2018, </w:t>
      </w:r>
      <w:r>
        <w:rPr>
          <w:rFonts w:ascii="Avenir" w:eastAsia="Avenir" w:hAnsi="Avenir" w:cs="Avenir"/>
          <w:b/>
          <w:sz w:val="22"/>
          <w:szCs w:val="22"/>
        </w:rPr>
        <w:t>Ora 09.45-13.30</w:t>
      </w:r>
    </w:p>
    <w:p w:rsidR="007C6291" w:rsidRDefault="007C6291">
      <w:pPr>
        <w:pStyle w:val="normal0"/>
        <w:spacing w:line="296" w:lineRule="auto"/>
        <w:rPr>
          <w:rFonts w:ascii="Avenir" w:eastAsia="Avenir" w:hAnsi="Avenir" w:cs="Avenir"/>
          <w:sz w:val="22"/>
          <w:szCs w:val="22"/>
        </w:rPr>
      </w:pPr>
    </w:p>
    <w:p w:rsidR="007C6291" w:rsidRDefault="00B5626D">
      <w:pPr>
        <w:pStyle w:val="normal0"/>
        <w:spacing w:line="368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Të nderuar Kolegë,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Agjensia Rajonale e Zhvillimit, në bashkëpunim me organizatën lider, Qëndra për Promovimin e Konkurueshmërisë, organizojnë një Takim Konsultativ me temë </w:t>
      </w:r>
      <w:r>
        <w:rPr>
          <w:rFonts w:ascii="Avenir" w:eastAsia="Avenir" w:hAnsi="Avenir" w:cs="Avenir"/>
          <w:b/>
          <w:sz w:val="24"/>
          <w:szCs w:val="24"/>
        </w:rPr>
        <w:t xml:space="preserve">“Mjedisi ligjor në sektorin e Ndërmarrjeve Sociale: gjetjet dhe sfidat’’ </w:t>
      </w:r>
      <w:r>
        <w:rPr>
          <w:rFonts w:ascii="Avenir" w:eastAsia="Avenir" w:hAnsi="Avenir" w:cs="Avenir"/>
          <w:sz w:val="24"/>
          <w:szCs w:val="24"/>
        </w:rPr>
        <w:t>në kuadër të Projektit me titu</w:t>
      </w:r>
      <w:r>
        <w:rPr>
          <w:rFonts w:ascii="Avenir" w:eastAsia="Avenir" w:hAnsi="Avenir" w:cs="Avenir"/>
          <w:sz w:val="24"/>
          <w:szCs w:val="24"/>
        </w:rPr>
        <w:t>ll “Mbështetje për Organizatat e Shoqërisë Civile për të zhvilluar Ndërmarrje Sociale” financuar nga Bashkimi Evropian.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bookmarkStart w:id="0" w:name="_gjdgxs" w:colFirst="0" w:colLast="0"/>
      <w:bookmarkEnd w:id="0"/>
      <w:r>
        <w:rPr>
          <w:rFonts w:ascii="Avenir" w:eastAsia="Avenir" w:hAnsi="Avenir" w:cs="Avenir"/>
          <w:sz w:val="24"/>
          <w:szCs w:val="24"/>
        </w:rPr>
        <w:t>Projekti synon të inkurajojë dhe mbështesë Organizatat e Shoqërisë Civile, të interesuara për të hapur apo fuqizuar Ndërmarrjet Sociale</w:t>
      </w:r>
      <w:r>
        <w:rPr>
          <w:rFonts w:ascii="Avenir" w:eastAsia="Avenir" w:hAnsi="Avenir" w:cs="Avenir"/>
          <w:sz w:val="24"/>
          <w:szCs w:val="24"/>
        </w:rPr>
        <w:t>, si iniciativa të reja që ndihmojnë vetë organizatat për të siguruar një stabilitet më të qëndrueshëm financiar në shërbim të misionit të tyre social.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Ky takim konsultativ zhvillohet në kuadër të vlerësimit të situatës ekzistuese mbi mjedisin ligjor me s</w:t>
      </w:r>
      <w:r>
        <w:rPr>
          <w:rFonts w:ascii="Avenir" w:eastAsia="Avenir" w:hAnsi="Avenir" w:cs="Avenir"/>
          <w:sz w:val="24"/>
          <w:szCs w:val="24"/>
        </w:rPr>
        <w:t>ynim evidentimin e sfidave, vështirësive, problematikave kryesore si dhe mundësive për operimin e Ndërmarrjeve Sociale në Shqipëri.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Kemi kënaqësinë t'ju ftojmë të merrni pjesë në këtë event për të diskutuar së bashku mbi mjedisin ligjor, sfidat aktuale li</w:t>
      </w:r>
      <w:r>
        <w:rPr>
          <w:rFonts w:ascii="Avenir" w:eastAsia="Avenir" w:hAnsi="Avenir" w:cs="Avenir"/>
          <w:sz w:val="24"/>
          <w:szCs w:val="24"/>
        </w:rPr>
        <w:t>dhur me kornizën ligjore, mbështetjen e duhur për ngritjen e Ndërmarrjeve Sociale përfshirë atë financiare si një komponent mjaft i rëndësishëm.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Në këtë takim janë të ftuar të marrin pjesë organizatat e shoqërisë civile, përfaqësues të institucioneve publ</w:t>
      </w:r>
      <w:r>
        <w:rPr>
          <w:rFonts w:ascii="Avenir" w:eastAsia="Avenir" w:hAnsi="Avenir" w:cs="Avenir"/>
          <w:sz w:val="24"/>
          <w:szCs w:val="24"/>
        </w:rPr>
        <w:t>ike dhe private, përfaqësues të qeverisë dhe pushtetit vendor, institucionet financare, ndërmarrje sociale dhe partnerë të tjerë që lidhen me zhvillimin</w:t>
      </w: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 këtij sektori.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lastRenderedPageBreak/>
        <w:t xml:space="preserve"> </w:t>
      </w: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Ju lutem konfirmoni pjesëmarrjen tuaj me email në adresën </w:t>
      </w:r>
      <w:hyperlink r:id="rId7">
        <w:r>
          <w:rPr>
            <w:rFonts w:ascii="Avenir" w:eastAsia="Avenir" w:hAnsi="Avenir" w:cs="Avenir"/>
            <w:color w:val="0563C1"/>
            <w:sz w:val="24"/>
            <w:szCs w:val="24"/>
            <w:u w:val="single"/>
          </w:rPr>
          <w:t>ilirrda@albmail.com</w:t>
        </w:r>
      </w:hyperlink>
      <w:r>
        <w:rPr>
          <w:rFonts w:ascii="Avenir" w:eastAsia="Avenir" w:hAnsi="Avenir" w:cs="Avenir"/>
          <w:sz w:val="24"/>
          <w:szCs w:val="24"/>
        </w:rPr>
        <w:t xml:space="preserve"> brenda datës 12 Dhjetor, 2018. Më poshtë do të gjeni programin e këtij takimi konsultativ.</w:t>
      </w: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7C6291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Ju faleminderit,</w:t>
      </w:r>
    </w:p>
    <w:p w:rsidR="007C6291" w:rsidRDefault="007C6291">
      <w:pPr>
        <w:pStyle w:val="normal0"/>
        <w:rPr>
          <w:rFonts w:ascii="Avenir" w:eastAsia="Avenir" w:hAnsi="Avenir" w:cs="Avenir"/>
          <w:sz w:val="24"/>
          <w:szCs w:val="24"/>
        </w:rPr>
      </w:pPr>
    </w:p>
    <w:p w:rsidR="007C6291" w:rsidRDefault="00B5626D">
      <w:pPr>
        <w:pStyle w:val="normal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Ilir Rëmbeci</w:t>
      </w:r>
    </w:p>
    <w:p w:rsidR="007C6291" w:rsidRDefault="007C6291">
      <w:pPr>
        <w:pStyle w:val="normal0"/>
        <w:rPr>
          <w:rFonts w:ascii="Avenir" w:eastAsia="Avenir" w:hAnsi="Avenir" w:cs="Avenir"/>
          <w:sz w:val="24"/>
          <w:szCs w:val="24"/>
        </w:rPr>
      </w:pPr>
    </w:p>
    <w:p w:rsidR="007C6291" w:rsidRDefault="007C629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7C6291" w:rsidRDefault="00B5626D">
      <w:pPr>
        <w:pStyle w:val="normal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Drejtor Ekzekutiv</w:t>
      </w:r>
    </w:p>
    <w:p w:rsidR="007C6291" w:rsidRDefault="00B5626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" w:eastAsia="Avenir" w:hAnsi="Avenir" w:cs="Avenir"/>
          <w:sz w:val="24"/>
          <w:szCs w:val="24"/>
        </w:rPr>
        <w:sectPr w:rsidR="007C6291" w:rsidSect="00B5626D">
          <w:headerReference w:type="default" r:id="rId8"/>
          <w:footerReference w:type="default" r:id="rId9"/>
          <w:pgSz w:w="11900" w:h="16840"/>
          <w:pgMar w:top="2430" w:right="1127" w:bottom="160" w:left="1418" w:header="360" w:footer="1679" w:gutter="0"/>
          <w:pgNumType w:start="1"/>
          <w:cols w:space="720"/>
        </w:sectPr>
      </w:pPr>
      <w:r>
        <w:br w:type="page"/>
      </w:r>
    </w:p>
    <w:p w:rsidR="007C6291" w:rsidRDefault="007C6291">
      <w:pPr>
        <w:pStyle w:val="normal0"/>
        <w:spacing w:line="276" w:lineRule="auto"/>
        <w:ind w:right="-22"/>
        <w:jc w:val="center"/>
        <w:rPr>
          <w:rFonts w:ascii="Avenir" w:eastAsia="Avenir" w:hAnsi="Avenir" w:cs="Avenir"/>
          <w:color w:val="000000"/>
          <w:sz w:val="28"/>
          <w:szCs w:val="28"/>
        </w:rPr>
      </w:pPr>
      <w:bookmarkStart w:id="1" w:name="30j0zll" w:colFirst="0" w:colLast="0"/>
      <w:bookmarkEnd w:id="1"/>
    </w:p>
    <w:p w:rsidR="007C6291" w:rsidRDefault="00B5626D">
      <w:pPr>
        <w:pStyle w:val="normal0"/>
        <w:spacing w:line="276" w:lineRule="auto"/>
        <w:ind w:right="-22"/>
        <w:jc w:val="center"/>
        <w:rPr>
          <w:rFonts w:ascii="Avenir" w:eastAsia="Avenir" w:hAnsi="Avenir" w:cs="Avenir"/>
          <w:color w:val="000000"/>
          <w:sz w:val="28"/>
          <w:szCs w:val="28"/>
        </w:rPr>
      </w:pPr>
      <w:r>
        <w:rPr>
          <w:rFonts w:ascii="Avenir" w:eastAsia="Avenir" w:hAnsi="Avenir" w:cs="Avenir"/>
          <w:color w:val="000000"/>
          <w:sz w:val="28"/>
          <w:szCs w:val="28"/>
        </w:rPr>
        <w:t>TAKIM KONSULTATIV</w:t>
      </w:r>
    </w:p>
    <w:p w:rsidR="007C6291" w:rsidRDefault="007C6291">
      <w:pPr>
        <w:pStyle w:val="normal0"/>
        <w:spacing w:line="276" w:lineRule="auto"/>
        <w:ind w:right="-22"/>
        <w:jc w:val="center"/>
        <w:rPr>
          <w:rFonts w:ascii="Avenir" w:eastAsia="Avenir" w:hAnsi="Avenir" w:cs="Avenir"/>
          <w:i/>
          <w:color w:val="000000"/>
          <w:sz w:val="28"/>
          <w:szCs w:val="28"/>
        </w:rPr>
      </w:pPr>
    </w:p>
    <w:p w:rsidR="007C6291" w:rsidRDefault="00B5626D" w:rsidP="00B5626D">
      <w:pPr>
        <w:pStyle w:val="normal0"/>
        <w:spacing w:line="276" w:lineRule="auto"/>
        <w:ind w:right="-22"/>
        <w:jc w:val="center"/>
        <w:rPr>
          <w:rFonts w:ascii="Avenir" w:eastAsia="Avenir" w:hAnsi="Avenir" w:cs="Avenir"/>
          <w:b/>
          <w:color w:val="000000"/>
          <w:sz w:val="28"/>
          <w:szCs w:val="28"/>
        </w:rPr>
      </w:pPr>
      <w:r>
        <w:rPr>
          <w:rFonts w:ascii="Avenir" w:eastAsia="Avenir" w:hAnsi="Avenir" w:cs="Avenir"/>
          <w:b/>
          <w:i/>
          <w:color w:val="000000"/>
          <w:sz w:val="28"/>
          <w:szCs w:val="28"/>
        </w:rPr>
        <w:t>“Mjedisi Ligjor në Sektorin e Ndërmarrjeve Sociale: Gjetjet dhe Sfidat</w:t>
      </w:r>
      <w:r>
        <w:rPr>
          <w:rFonts w:ascii="Avenir" w:eastAsia="Avenir" w:hAnsi="Avenir" w:cs="Avenir"/>
          <w:b/>
          <w:color w:val="000000"/>
          <w:sz w:val="28"/>
          <w:szCs w:val="28"/>
        </w:rPr>
        <w:t>”</w:t>
      </w:r>
    </w:p>
    <w:p w:rsidR="007C6291" w:rsidRPr="00B5626D" w:rsidRDefault="00B5626D" w:rsidP="00B5626D">
      <w:pPr>
        <w:pStyle w:val="normal0"/>
        <w:spacing w:line="276" w:lineRule="auto"/>
        <w:jc w:val="center"/>
        <w:rPr>
          <w:rFonts w:ascii="Avenir" w:eastAsia="Avenir" w:hAnsi="Avenir" w:cs="Avenir"/>
          <w:color w:val="000000"/>
          <w:sz w:val="28"/>
          <w:szCs w:val="28"/>
        </w:rPr>
      </w:pPr>
      <w:r>
        <w:rPr>
          <w:rFonts w:ascii="Avenir" w:eastAsia="Avenir" w:hAnsi="Avenir" w:cs="Avenir"/>
          <w:sz w:val="22"/>
          <w:szCs w:val="22"/>
        </w:rPr>
        <w:t>Vendi i organizimit</w:t>
      </w:r>
      <w:r>
        <w:rPr>
          <w:rFonts w:ascii="Times New Roman" w:eastAsia="Times New Roman" w:hAnsi="Times New Roman" w:cs="Times New Roman"/>
          <w:sz w:val="24"/>
          <w:szCs w:val="24"/>
        </w:rPr>
        <w:t>: OFICINA</w:t>
      </w:r>
      <w:r>
        <w:rPr>
          <w:rFonts w:ascii="Avenir" w:eastAsia="Avenir" w:hAnsi="Avenir" w:cs="Avenir"/>
          <w:sz w:val="22"/>
          <w:szCs w:val="22"/>
        </w:rPr>
        <w:t>, pranë shkollës Harry Fultz</w:t>
      </w:r>
    </w:p>
    <w:p w:rsidR="007C6291" w:rsidRDefault="00B5626D">
      <w:pPr>
        <w:pStyle w:val="normal0"/>
        <w:spacing w:line="276" w:lineRule="auto"/>
        <w:jc w:val="center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E enjte, 13 Dhjetor 2018 </w:t>
      </w:r>
      <w:r>
        <w:rPr>
          <w:rFonts w:ascii="Avenir" w:eastAsia="Avenir" w:hAnsi="Avenir" w:cs="Avenir"/>
          <w:b/>
        </w:rPr>
        <w:t>(Ora 09.45-13.30)</w:t>
      </w:r>
    </w:p>
    <w:p w:rsidR="007C6291" w:rsidRDefault="007C6291">
      <w:pPr>
        <w:pStyle w:val="normal0"/>
        <w:jc w:val="center"/>
        <w:rPr>
          <w:rFonts w:ascii="Avenir" w:eastAsia="Avenir" w:hAnsi="Avenir" w:cs="Avenir"/>
          <w:b/>
        </w:rPr>
      </w:pPr>
    </w:p>
    <w:tbl>
      <w:tblPr>
        <w:tblStyle w:val="a"/>
        <w:tblW w:w="9480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7340"/>
      </w:tblGrid>
      <w:tr w:rsidR="007C6291">
        <w:trPr>
          <w:jc w:val="center"/>
        </w:trPr>
        <w:tc>
          <w:tcPr>
            <w:tcW w:w="9480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left w:w="98" w:type="dxa"/>
            </w:tcMar>
            <w:vAlign w:val="center"/>
          </w:tcPr>
          <w:p w:rsidR="007C6291" w:rsidRDefault="007C6291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</w:p>
        </w:tc>
      </w:tr>
      <w:tr w:rsidR="007C6291">
        <w:trPr>
          <w:trHeight w:val="400"/>
          <w:jc w:val="center"/>
        </w:trPr>
        <w:tc>
          <w:tcPr>
            <w:tcW w:w="2140" w:type="dxa"/>
            <w:shd w:val="clear" w:color="auto" w:fill="EAF1DD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09:45 – 10:00</w:t>
            </w:r>
          </w:p>
        </w:tc>
        <w:tc>
          <w:tcPr>
            <w:tcW w:w="7340" w:type="dxa"/>
            <w:shd w:val="clear" w:color="auto" w:fill="EAF1DD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Hapja dhe regjistrimi i pjesëmarrësve</w:t>
            </w:r>
          </w:p>
        </w:tc>
      </w:tr>
      <w:tr w:rsidR="007C6291">
        <w:trPr>
          <w:trHeight w:val="400"/>
          <w:jc w:val="center"/>
        </w:trPr>
        <w:tc>
          <w:tcPr>
            <w:tcW w:w="2140" w:type="dxa"/>
            <w:shd w:val="clear" w:color="auto" w:fill="EAF1DD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 xml:space="preserve">10:00 – 10:15 </w:t>
            </w:r>
          </w:p>
        </w:tc>
        <w:tc>
          <w:tcPr>
            <w:tcW w:w="7340" w:type="dxa"/>
            <w:shd w:val="clear" w:color="auto" w:fill="EAF1DD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Hapja</w:t>
            </w:r>
          </w:p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Ilir Rëmbeci</w:t>
            </w:r>
            <w:r>
              <w:rPr>
                <w:rFonts w:ascii="Avenir" w:eastAsia="Avenir" w:hAnsi="Avenir" w:cs="Avenir"/>
                <w:sz w:val="22"/>
                <w:szCs w:val="22"/>
              </w:rPr>
              <w:t>, Drejtor Ekzekutiv, Agjensia Rajonale e Zhvillimit</w:t>
            </w:r>
          </w:p>
          <w:p w:rsidR="007C6291" w:rsidRDefault="007C6291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</w:p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Përshkrim i shkurtër i projektit</w:t>
            </w:r>
          </w:p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Alida Kondi</w:t>
            </w:r>
            <w:r>
              <w:rPr>
                <w:rFonts w:ascii="Avenir" w:eastAsia="Avenir" w:hAnsi="Avenir" w:cs="Avenir"/>
                <w:sz w:val="22"/>
                <w:szCs w:val="22"/>
              </w:rPr>
              <w:t>, Drejtore Ekzekutive, Qendra për Promovimin e Konkurueshmërisë</w:t>
            </w:r>
          </w:p>
          <w:p w:rsidR="007C6291" w:rsidRDefault="007C6291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7C6291">
        <w:trPr>
          <w:trHeight w:val="860"/>
          <w:jc w:val="center"/>
        </w:trPr>
        <w:tc>
          <w:tcPr>
            <w:tcW w:w="2140" w:type="dxa"/>
            <w:shd w:val="clear" w:color="auto" w:fill="auto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 xml:space="preserve">10:15 – 10:30 </w:t>
            </w:r>
          </w:p>
        </w:tc>
        <w:tc>
          <w:tcPr>
            <w:tcW w:w="7340" w:type="dxa"/>
            <w:shd w:val="clear" w:color="auto" w:fill="auto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Prezantim i shkurtër i pjesëmarrësve</w:t>
            </w:r>
          </w:p>
        </w:tc>
      </w:tr>
      <w:tr w:rsidR="007C6291">
        <w:trPr>
          <w:trHeight w:val="620"/>
          <w:jc w:val="center"/>
        </w:trPr>
        <w:tc>
          <w:tcPr>
            <w:tcW w:w="2140" w:type="dxa"/>
            <w:shd w:val="clear" w:color="auto" w:fill="EAF1DD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10:30 – 11:10</w:t>
            </w:r>
          </w:p>
        </w:tc>
        <w:tc>
          <w:tcPr>
            <w:tcW w:w="7340" w:type="dxa"/>
            <w:shd w:val="clear" w:color="auto" w:fill="EAF1DD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Sfidat e NS-ve lidhur me mjedisin ligjor dhe pengesat e kornizës ligjore – </w:t>
            </w:r>
            <w:r>
              <w:rPr>
                <w:rFonts w:ascii="Avenir" w:eastAsia="Avenir" w:hAnsi="Avenir" w:cs="Avenir"/>
                <w:b/>
                <w:sz w:val="22"/>
                <w:szCs w:val="22"/>
              </w:rPr>
              <w:t>Bashkim Sykja</w:t>
            </w:r>
            <w:r>
              <w:rPr>
                <w:rFonts w:ascii="Avenir" w:eastAsia="Avenir" w:hAnsi="Avenir" w:cs="Avenir"/>
                <w:sz w:val="22"/>
                <w:szCs w:val="22"/>
              </w:rPr>
              <w:t xml:space="preserve">, Ekspert për </w:t>
            </w:r>
            <w:bookmarkStart w:id="2" w:name="_GoBack"/>
            <w:bookmarkEnd w:id="2"/>
            <w:r>
              <w:rPr>
                <w:rFonts w:ascii="Avenir" w:eastAsia="Avenir" w:hAnsi="Avenir" w:cs="Avenir"/>
                <w:sz w:val="22"/>
                <w:szCs w:val="22"/>
              </w:rPr>
              <w:t>kuadrin ligjor të Ndërmarrjeve Sociale</w:t>
            </w:r>
          </w:p>
        </w:tc>
      </w:tr>
      <w:tr w:rsidR="007C6291">
        <w:trPr>
          <w:trHeight w:val="620"/>
          <w:jc w:val="center"/>
        </w:trPr>
        <w:tc>
          <w:tcPr>
            <w:tcW w:w="214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11:10 – 11:50</w:t>
            </w:r>
          </w:p>
        </w:tc>
        <w:tc>
          <w:tcPr>
            <w:tcW w:w="734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Nevojat për të krijuar NS – </w:t>
            </w:r>
            <w:r>
              <w:rPr>
                <w:rFonts w:ascii="Avenir" w:eastAsia="Avenir" w:hAnsi="Avenir" w:cs="Avenir"/>
                <w:b/>
                <w:sz w:val="22"/>
                <w:szCs w:val="22"/>
              </w:rPr>
              <w:t>Bashkim</w:t>
            </w:r>
          </w:p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Sykja</w:t>
            </w:r>
            <w:r>
              <w:rPr>
                <w:rFonts w:ascii="Avenir" w:eastAsia="Avenir" w:hAnsi="Avenir" w:cs="Avenir"/>
                <w:sz w:val="22"/>
                <w:szCs w:val="22"/>
              </w:rPr>
              <w:t>, Ekspert për kuadrin ligjor të Ndërmarrjeve Sociale</w:t>
            </w:r>
          </w:p>
        </w:tc>
      </w:tr>
      <w:tr w:rsidR="007C6291">
        <w:trPr>
          <w:trHeight w:val="620"/>
          <w:jc w:val="center"/>
        </w:trPr>
        <w:tc>
          <w:tcPr>
            <w:tcW w:w="2140" w:type="dxa"/>
            <w:tcBorders>
              <w:top w:val="nil"/>
            </w:tcBorders>
            <w:shd w:val="clear" w:color="auto" w:fill="E2EFD9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11:50 – 12:30</w:t>
            </w:r>
          </w:p>
        </w:tc>
        <w:tc>
          <w:tcPr>
            <w:tcW w:w="7340" w:type="dxa"/>
            <w:tcBorders>
              <w:top w:val="nil"/>
            </w:tcBorders>
            <w:shd w:val="clear" w:color="auto" w:fill="E2EFD9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Mbështetja financiare për NS-të – </w:t>
            </w:r>
            <w:r>
              <w:rPr>
                <w:rFonts w:ascii="Avenir" w:eastAsia="Avenir" w:hAnsi="Avenir" w:cs="Avenir"/>
                <w:b/>
                <w:sz w:val="22"/>
                <w:szCs w:val="22"/>
              </w:rPr>
              <w:t>Bashkim</w:t>
            </w:r>
          </w:p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Sykja</w:t>
            </w:r>
            <w:r>
              <w:rPr>
                <w:rFonts w:ascii="Avenir" w:eastAsia="Avenir" w:hAnsi="Avenir" w:cs="Avenir"/>
                <w:sz w:val="22"/>
                <w:szCs w:val="22"/>
              </w:rPr>
              <w:t>, Ekspert për kuadrin ligjor të Ndërmarrjeve Sociale</w:t>
            </w:r>
          </w:p>
        </w:tc>
      </w:tr>
      <w:tr w:rsidR="007C6291">
        <w:trPr>
          <w:trHeight w:val="620"/>
          <w:jc w:val="center"/>
        </w:trPr>
        <w:tc>
          <w:tcPr>
            <w:tcW w:w="214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12:30 – 13:30</w:t>
            </w:r>
          </w:p>
        </w:tc>
        <w:tc>
          <w:tcPr>
            <w:tcW w:w="734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C6291" w:rsidRDefault="00B5626D">
            <w:pPr>
              <w:pStyle w:val="normal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Kokteil</w:t>
            </w:r>
          </w:p>
        </w:tc>
      </w:tr>
    </w:tbl>
    <w:p w:rsidR="007C6291" w:rsidRDefault="007C6291">
      <w:pPr>
        <w:pStyle w:val="normal0"/>
        <w:rPr>
          <w:color w:val="0000FF"/>
          <w:sz w:val="22"/>
          <w:szCs w:val="22"/>
          <w:u w:val="single"/>
        </w:rPr>
      </w:pPr>
    </w:p>
    <w:sectPr w:rsidR="007C6291">
      <w:type w:val="continuous"/>
      <w:pgSz w:w="11900" w:h="16840"/>
      <w:pgMar w:top="2250" w:right="1127" w:bottom="160" w:left="1418" w:header="360" w:footer="16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626D">
      <w:r>
        <w:separator/>
      </w:r>
    </w:p>
  </w:endnote>
  <w:endnote w:type="continuationSeparator" w:id="0">
    <w:p w:rsidR="00000000" w:rsidRDefault="00B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">
    <w:altName w:val="Avenir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91" w:rsidRDefault="00B562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  <w:color w:val="000000"/>
        <w:sz w:val="24"/>
        <w:szCs w:val="24"/>
      </w:rPr>
      <w:t xml:space="preserve">                                                                                                           </w:t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648FA39C" wp14:editId="75848537">
          <wp:simplePos x="0" y="0"/>
          <wp:positionH relativeFrom="column">
            <wp:posOffset>204470</wp:posOffset>
          </wp:positionH>
          <wp:positionV relativeFrom="paragraph">
            <wp:posOffset>59055</wp:posOffset>
          </wp:positionV>
          <wp:extent cx="2095500" cy="914400"/>
          <wp:effectExtent l="0" t="0" r="0" b="0"/>
          <wp:wrapSquare wrapText="bothSides" distT="0" distB="0" distL="114300" distR="114300"/>
          <wp:docPr id="2" name="image3.png" descr="Macintosh HD:Users:faolahodaj:Desktop:arzh:Logo-RDA-2018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acintosh HD:Users:faolahodaj:Desktop:arzh:Logo-RDA-2018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77F77E3F" wp14:editId="6CB32D0C">
          <wp:simplePos x="0" y="0"/>
          <wp:positionH relativeFrom="column">
            <wp:posOffset>4141470</wp:posOffset>
          </wp:positionH>
          <wp:positionV relativeFrom="paragraph">
            <wp:posOffset>59055</wp:posOffset>
          </wp:positionV>
          <wp:extent cx="1705610" cy="969645"/>
          <wp:effectExtent l="0" t="0" r="0" b="0"/>
          <wp:wrapSquare wrapText="bothSides" distT="0" distB="0" distL="114300" distR="11430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5610" cy="969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6291" w:rsidRDefault="007C6291">
    <w:pPr>
      <w:pStyle w:val="normal0"/>
      <w:rPr>
        <w:b/>
        <w:sz w:val="18"/>
        <w:szCs w:val="18"/>
      </w:rPr>
    </w:pPr>
  </w:p>
  <w:p w:rsidR="007C6291" w:rsidRDefault="007C6291">
    <w:pPr>
      <w:pStyle w:val="normal0"/>
      <w:rPr>
        <w:b/>
        <w:sz w:val="18"/>
        <w:szCs w:val="18"/>
      </w:rPr>
    </w:pPr>
  </w:p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626D">
      <w:r>
        <w:separator/>
      </w:r>
    </w:p>
  </w:footnote>
  <w:footnote w:type="continuationSeparator" w:id="0">
    <w:p w:rsidR="00000000" w:rsidRDefault="00B562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C6291" w:rsidRDefault="00B562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                                       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DD6E0A4" wp14:editId="5774C074">
          <wp:simplePos x="0" y="0"/>
          <wp:positionH relativeFrom="column">
            <wp:posOffset>3937000</wp:posOffset>
          </wp:positionH>
          <wp:positionV relativeFrom="paragraph">
            <wp:posOffset>16510</wp:posOffset>
          </wp:positionV>
          <wp:extent cx="1524000" cy="807502"/>
          <wp:effectExtent l="0" t="0" r="0" b="0"/>
          <wp:wrapNone/>
          <wp:docPr id="3" name="image2.png" descr="Artboar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rtboard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8075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50809EB" wp14:editId="107145CE">
          <wp:simplePos x="0" y="0"/>
          <wp:positionH relativeFrom="column">
            <wp:posOffset>-35559</wp:posOffset>
          </wp:positionH>
          <wp:positionV relativeFrom="paragraph">
            <wp:posOffset>16510</wp:posOffset>
          </wp:positionV>
          <wp:extent cx="1496060" cy="843915"/>
          <wp:effectExtent l="0" t="0" r="0" b="0"/>
          <wp:wrapSquare wrapText="bothSides" distT="0" distB="0" distL="114300" distR="114300"/>
          <wp:docPr id="1" name="image1.png" descr="EU-Flag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U-Flag-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060" cy="843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C6291" w:rsidRDefault="007C62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7C6291" w:rsidRDefault="00B562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This project is financed by the European Union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6291"/>
    <w:rsid w:val="007C6291"/>
    <w:rsid w:val="00B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q-A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q-A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lirrda@alb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2415</Characters>
  <Application>Microsoft Macintosh Word</Application>
  <DocSecurity>0</DocSecurity>
  <Lines>20</Lines>
  <Paragraphs>5</Paragraphs>
  <ScaleCrop>false</ScaleCrop>
  <Company>Unique Junior Enterprise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Faola Hodaj</cp:lastModifiedBy>
  <cp:revision>2</cp:revision>
  <dcterms:created xsi:type="dcterms:W3CDTF">2018-12-05T22:01:00Z</dcterms:created>
  <dcterms:modified xsi:type="dcterms:W3CDTF">2018-12-05T22:01:00Z</dcterms:modified>
</cp:coreProperties>
</file>